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270</w:t>
      </w:r>
    </w:p>
    <w:p>
      <w:r>
        <w:t>Bundesgericht (BGE), 1990-11-22, FR</w:t>
      </w:r>
    </w:p>
    <w:p>
      <w:r>
        <w:rPr>
          <w:b/>
        </w:rPr>
        <w:t xml:space="preserve">Quelle: </w:t>
      </w:r>
      <w:r>
        <w:t>https://mcp.opencaselaw.ch/entscheid/bge_117 II 270</w:t>
      </w:r>
    </w:p>
    <w:p>
      <w:r>
        <w:t>FR: ATF 117 II 270</w:t>
      </w:r>
    </w:p>
    <w:p>
      <w:r>
        <w:t>IT: DTF 117 II 270</w:t>
      </w:r>
    </w:p>
    <w:p>
      <w:pPr>
        <w:pStyle w:val="Heading2"/>
      </w:pPr>
      <w:r>
        <w:t>Regeste</w:t>
      </w:r>
    </w:p>
    <w:p>
      <w:r>
        <w:t>Regeste Ungerechtfertigte fristlose Auflösung des Arbeitsvertrages; Abgeltung des Ferienanspruchs durch Geldleistung. Rechtsnatur und Gegenstand des aus der neuen Vorschrift von Art. 337c Abs. 1 OR abgeleiteten Anspruchs des Arbeitnehmers. Ausnahme von der Regel, wonach dem ungerechtfertigt fristlos entlassenen Arbeitnehmer auch das Recht auf eine Geldleistung als Abgeltung des Ferienanspruchs zusteht.</w:t>
      </w:r>
    </w:p>
    <w:p>
      <w:pPr>
        <w:pStyle w:val="Heading2"/>
      </w:pPr>
      <w:r>
        <w:t>Erwägungen</w:t>
      </w:r>
    </w:p>
    <w:p>
      <w:r>
        <w:rPr>
          <w:b/>
        </w:rPr>
        <w:t>E. 3</w:t>
      </w:r>
    </w:p>
    <w:p>
      <w:r>
        <w:t>b) Selon la règle nouvelle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prétention du travailleur fondée sur cette disposition est donc une créance en dommages-intérêts et le contrat prend fin immédiatement, en droit, que la résiliation immédiate soit justifiée ou non (cf., notamment, BGE 117 II 270 S. 272 DUC, in: Les nouvelles dispositions du Code des obligations en matière de résiliation du contrat de travail, Lausanne Cedidac 1989, p. 29). Cette créance en dommages-intérêts comprend non seulement le salaire, mais aussi le droit aux vacances, remplacé par des prestations en argent, et la compensation des autres avantages résultant du contrat de travail, tels que les gratifications ou indemnités de départ (cf. REHBINDER, Schweizerisches Arbeitsrecht, 10e éd., p. 122; KUHN, Aktuelles Arbeitsrecht für die betriebliche Praxis, Teil 7, Kap. 3.9.1, p. 2). De l'avis de certains auteurs, cette nouvelle disposition implique que, dans tous les cas de licenciement immédiat injustifié, le travailleur peut faire valoir ses prétentions en espèces relatives aux vacances; l'ancienne pratique de la prise des vacances en nature après le licenciement immédiat, qui reposait sur la fiction de la conversion d'un tel licenciement en un licenciement ordinaire, doit, en conséquence, être définitivement bannie (BRUNNER/BÜHLER/WAEBER, Commentaire du contrat de travail, p. 192, n. 5 ad art. 337c). La disposition nouvelle de l'art. 337c CO remet certes en question la jurisprudence traditionnelle antérieure, selon laquelle le travailleur congédié avec effet immédiat et recevant son salaire pour le délai de congé ordinaire était, en principe, réputé avoir pris ses vacances durant ce délai (cf. AUBERT, Quatre cents arrêts sur le contrat de travail, n. 130 à 132). Cette jurisprudence avait d'ailleurs été déjà critiquée auparavant (cf. la note d'AUBERT, in SJ 1988 p. 580, et les arrêts cités par cet auteur). On ne peut cependant aller jusqu'à poser de façon absolue que le travailleur renvoyé abruptement sans justes motifs a toujours droit au paiement de ses vacances en espèces en plus de ce qu'il aurait gagné si les rapports de travail avaient pris fin normalement. Si le droit au paiement des vacances en espèces doit en tout cas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 337c al. 1 CO,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(cf. la note d'AUBERT déjà citée). En revanche, lorsque le travailleur, comme BGE 117 II 270 S. 273 en l'espèce, est indemnisé pour une longue période au cours de laquelle il ne travaille pas et n'a même guère de possibilités de trouver un emploi, on peut admettre que cette indemnité inclut le droit aux vacances. En raisonnant de la sorte, la cour cantonale n'a dès lors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